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3" w:rsidRPr="00867918" w:rsidRDefault="003A2A83" w:rsidP="003A2A83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Стилистика</w:t>
      </w:r>
      <w:bookmarkEnd w:id="0"/>
      <w:r w:rsidRPr="00867918">
        <w:rPr>
          <w:b/>
          <w:bCs/>
        </w:rPr>
        <w:t>»</w:t>
      </w:r>
    </w:p>
    <w:p w:rsidR="003A2A83" w:rsidRPr="00867918" w:rsidRDefault="003A2A83" w:rsidP="003A2A83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876"/>
      </w:tblGrid>
      <w:tr w:rsidR="003A2A83" w:rsidRPr="00867918" w:rsidTr="00906315">
        <w:tc>
          <w:tcPr>
            <w:tcW w:w="3794" w:type="dxa"/>
            <w:shd w:val="clear" w:color="auto" w:fill="auto"/>
          </w:tcPr>
          <w:p w:rsidR="003A2A83" w:rsidRPr="00867918" w:rsidRDefault="003A2A83" w:rsidP="00906315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3A2A83" w:rsidRPr="00867918" w:rsidRDefault="003A2A83" w:rsidP="00906315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060" w:type="dxa"/>
            <w:shd w:val="clear" w:color="auto" w:fill="auto"/>
          </w:tcPr>
          <w:p w:rsidR="003A2A83" w:rsidRPr="00867918" w:rsidRDefault="003A2A83" w:rsidP="0090631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3A2A83" w:rsidRPr="00867918" w:rsidRDefault="003A2A83" w:rsidP="0090631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3A2A83" w:rsidRPr="005C73AC" w:rsidRDefault="003A2A83" w:rsidP="00906315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3A2A83" w:rsidRPr="00867918" w:rsidRDefault="003A2A83" w:rsidP="00906315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3A2A83" w:rsidRPr="00867918" w:rsidTr="00906315">
        <w:tc>
          <w:tcPr>
            <w:tcW w:w="3794" w:type="dxa"/>
            <w:shd w:val="clear" w:color="auto" w:fill="auto"/>
          </w:tcPr>
          <w:p w:rsidR="003A2A83" w:rsidRPr="00867918" w:rsidRDefault="003A2A83" w:rsidP="00906315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</w:tc>
        <w:tc>
          <w:tcPr>
            <w:tcW w:w="6060" w:type="dxa"/>
            <w:shd w:val="clear" w:color="auto" w:fill="auto"/>
          </w:tcPr>
          <w:p w:rsidR="003A2A83" w:rsidRPr="00867918" w:rsidRDefault="003A2A83" w:rsidP="009063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становления и развития стилистики. Направления современной стилистики. Функциональная стилистика. Стиль как основная категория стилистики. Стилистическая коннотация. Стилистическая парадигма. Система функциональных стилей русского литературного языка. Научный стиль. Система </w:t>
            </w:r>
            <w:proofErr w:type="spellStart"/>
            <w:r>
              <w:rPr>
                <w:lang w:eastAsia="en-US"/>
              </w:rPr>
              <w:t>подстилей</w:t>
            </w:r>
            <w:proofErr w:type="spellEnd"/>
            <w:r>
              <w:rPr>
                <w:lang w:eastAsia="en-US"/>
              </w:rPr>
              <w:t xml:space="preserve"> научного стиля. Языковые особенности научного стиля. Официально-деловой стиль. Широта и разнообразие сферы официально-деловых отношений. Функции языка в сфере официально-деловых отношений. Система </w:t>
            </w:r>
            <w:proofErr w:type="spellStart"/>
            <w:r>
              <w:rPr>
                <w:lang w:eastAsia="en-US"/>
              </w:rPr>
              <w:t>подстилей</w:t>
            </w:r>
            <w:proofErr w:type="spellEnd"/>
            <w:r>
              <w:rPr>
                <w:lang w:eastAsia="en-US"/>
              </w:rPr>
              <w:t xml:space="preserve"> официально-делового стиля. Языковые особенности официально-делового стиля. Текстовые нормы в официально-деловом стиле. Публицистический стиль. Система </w:t>
            </w:r>
            <w:proofErr w:type="spellStart"/>
            <w:r>
              <w:rPr>
                <w:lang w:eastAsia="en-US"/>
              </w:rPr>
              <w:t>подстилей</w:t>
            </w:r>
            <w:proofErr w:type="spellEnd"/>
            <w:r>
              <w:rPr>
                <w:lang w:eastAsia="en-US"/>
              </w:rPr>
              <w:t xml:space="preserve">. Жанровое разнообразие. </w:t>
            </w:r>
            <w:proofErr w:type="spellStart"/>
            <w:r>
              <w:rPr>
                <w:lang w:eastAsia="en-US"/>
              </w:rPr>
              <w:t>Медийная</w:t>
            </w:r>
            <w:proofErr w:type="spellEnd"/>
            <w:r>
              <w:rPr>
                <w:lang w:eastAsia="en-US"/>
              </w:rPr>
              <w:t xml:space="preserve"> коммуникация. Языковые особенности публицистики. Вопрос о выделении художественного стиля в системе </w:t>
            </w:r>
            <w:proofErr w:type="spellStart"/>
            <w:r>
              <w:rPr>
                <w:lang w:eastAsia="en-US"/>
              </w:rPr>
              <w:t>подстилей</w:t>
            </w:r>
            <w:proofErr w:type="spellEnd"/>
            <w:r>
              <w:rPr>
                <w:lang w:eastAsia="en-US"/>
              </w:rPr>
              <w:t xml:space="preserve">. Разнообразие языковых средств, художественно-образная объективация мира, экспрессивность как основные черты художественного стиля. Фигуры как источники выразительности. Разговорный стиль. </w:t>
            </w:r>
            <w:proofErr w:type="spellStart"/>
            <w:r>
              <w:rPr>
                <w:lang w:eastAsia="en-US"/>
              </w:rPr>
              <w:t>Фатическая</w:t>
            </w:r>
            <w:proofErr w:type="spellEnd"/>
            <w:r>
              <w:rPr>
                <w:lang w:eastAsia="en-US"/>
              </w:rPr>
              <w:t xml:space="preserve"> и эмотивная функции разговорного стиля. Норма в разговорном стиле. Языковые особенности разговорного стиля. Методика проведения лингвостилистического анализа текста.</w:t>
            </w:r>
          </w:p>
        </w:tc>
      </w:tr>
      <w:tr w:rsidR="003A2A83" w:rsidRPr="00867918" w:rsidTr="00906315">
        <w:tc>
          <w:tcPr>
            <w:tcW w:w="3794" w:type="dxa"/>
            <w:shd w:val="clear" w:color="auto" w:fill="auto"/>
          </w:tcPr>
          <w:p w:rsidR="003A2A83" w:rsidRPr="00867918" w:rsidRDefault="003A2A83" w:rsidP="00906315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  <w:p w:rsidR="003A2A83" w:rsidRPr="00867918" w:rsidRDefault="003A2A83" w:rsidP="00906315">
            <w:pPr>
              <w:rPr>
                <w:b/>
              </w:rPr>
            </w:pPr>
          </w:p>
        </w:tc>
        <w:tc>
          <w:tcPr>
            <w:tcW w:w="6060" w:type="dxa"/>
            <w:shd w:val="clear" w:color="auto" w:fill="auto"/>
          </w:tcPr>
          <w:p w:rsidR="003A2A83" w:rsidRPr="00867918" w:rsidRDefault="003A2A83" w:rsidP="00906315">
            <w:pPr>
              <w:jc w:val="both"/>
            </w:pPr>
            <w:r>
              <w:t xml:space="preserve">Базовые профессиональные компетенции: </w:t>
            </w:r>
            <w:r w:rsidRPr="007D4700">
              <w:rPr>
                <w:b/>
                <w:bCs/>
                <w:i/>
              </w:rPr>
              <w:t>знать</w:t>
            </w:r>
            <w:r w:rsidRPr="007D4700">
              <w:rPr>
                <w:i/>
              </w:rPr>
              <w:t>:</w:t>
            </w:r>
            <w:r>
              <w:t xml:space="preserve"> систему функциональных стилей русского языка, </w:t>
            </w:r>
            <w:r w:rsidRPr="007D4700">
              <w:rPr>
                <w:b/>
                <w:bCs/>
                <w:i/>
              </w:rPr>
              <w:t>уметь:</w:t>
            </w:r>
            <w:r>
              <w:t xml:space="preserve"> характеризовать единицы русского языка с точки зрения их семантики, структуры, функции, уместности, осуществлять </w:t>
            </w:r>
            <w:proofErr w:type="spellStart"/>
            <w:r>
              <w:t>поуровневый</w:t>
            </w:r>
            <w:proofErr w:type="spellEnd"/>
            <w:r>
              <w:t xml:space="preserve"> лингвостилистический анализ текста; </w:t>
            </w:r>
            <w:r w:rsidRPr="007D4700">
              <w:rPr>
                <w:b/>
                <w:bCs/>
                <w:i/>
              </w:rPr>
              <w:t>владеть:</w:t>
            </w:r>
            <w:r>
              <w:t xml:space="preserve"> стилистическими ресурсами русского языка.</w:t>
            </w:r>
          </w:p>
        </w:tc>
      </w:tr>
      <w:tr w:rsidR="003A2A83" w:rsidRPr="00867918" w:rsidTr="00906315">
        <w:tc>
          <w:tcPr>
            <w:tcW w:w="3794" w:type="dxa"/>
            <w:shd w:val="clear" w:color="auto" w:fill="auto"/>
          </w:tcPr>
          <w:p w:rsidR="003A2A83" w:rsidRPr="00867918" w:rsidRDefault="003A2A83" w:rsidP="00906315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3A2A83" w:rsidRPr="00867918" w:rsidRDefault="003A2A83" w:rsidP="00906315">
            <w:pPr>
              <w:jc w:val="both"/>
            </w:pPr>
            <w:r>
              <w:t>Фонетика. Лексикология. Словообразование. Морфология. Синтаксис.</w:t>
            </w:r>
          </w:p>
        </w:tc>
      </w:tr>
      <w:tr w:rsidR="003A2A83" w:rsidRPr="00867918" w:rsidTr="00906315">
        <w:tc>
          <w:tcPr>
            <w:tcW w:w="3794" w:type="dxa"/>
            <w:shd w:val="clear" w:color="auto" w:fill="auto"/>
          </w:tcPr>
          <w:p w:rsidR="003A2A83" w:rsidRPr="00867918" w:rsidRDefault="003A2A83" w:rsidP="00906315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6060" w:type="dxa"/>
            <w:shd w:val="clear" w:color="auto" w:fill="auto"/>
          </w:tcPr>
          <w:p w:rsidR="003A2A83" w:rsidRPr="00867918" w:rsidRDefault="003A2A83" w:rsidP="00906315">
            <w:pPr>
              <w:jc w:val="both"/>
            </w:pPr>
            <w:r w:rsidRPr="00867918">
              <w:t>3 зачетные единицы, 108 академических часов, из них 46 аудиторных: 22 ч лекций и 24 ч практических занятий.</w:t>
            </w:r>
          </w:p>
        </w:tc>
      </w:tr>
      <w:tr w:rsidR="003A2A83" w:rsidRPr="00867918" w:rsidTr="00906315">
        <w:tc>
          <w:tcPr>
            <w:tcW w:w="3794" w:type="dxa"/>
            <w:shd w:val="clear" w:color="auto" w:fill="auto"/>
          </w:tcPr>
          <w:p w:rsidR="003A2A83" w:rsidRPr="00867918" w:rsidRDefault="003A2A83" w:rsidP="00906315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BA3A8B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060" w:type="dxa"/>
            <w:shd w:val="clear" w:color="auto" w:fill="auto"/>
          </w:tcPr>
          <w:p w:rsidR="003A2A83" w:rsidRPr="00867918" w:rsidRDefault="003A2A83" w:rsidP="00906315">
            <w:pPr>
              <w:jc w:val="both"/>
            </w:pPr>
            <w:r>
              <w:t>7-</w:t>
            </w:r>
            <w:r w:rsidRPr="00867918">
              <w:t xml:space="preserve">й семестр, </w:t>
            </w:r>
            <w:r>
              <w:t xml:space="preserve">контрольная работа, итоговое тестирование, </w:t>
            </w:r>
            <w:r w:rsidRPr="00867918">
              <w:t>зачет.</w:t>
            </w:r>
          </w:p>
        </w:tc>
      </w:tr>
    </w:tbl>
    <w:p w:rsidR="006865FD" w:rsidRPr="003A2A83" w:rsidRDefault="006865FD" w:rsidP="003A2A83">
      <w:pPr>
        <w:spacing w:after="200" w:line="276" w:lineRule="auto"/>
        <w:rPr>
          <w:b/>
          <w:bCs/>
        </w:rPr>
      </w:pPr>
    </w:p>
    <w:sectPr w:rsidR="006865FD" w:rsidRPr="003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3A2A83"/>
    <w:rsid w:val="00474DBB"/>
    <w:rsid w:val="00506B45"/>
    <w:rsid w:val="005C5EE7"/>
    <w:rsid w:val="00641447"/>
    <w:rsid w:val="006865FD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F8FAD-9C6F-4DAA-BB88-9DCAAC4AEFFD}"/>
</file>

<file path=customXml/itemProps2.xml><?xml version="1.0" encoding="utf-8"?>
<ds:datastoreItem xmlns:ds="http://schemas.openxmlformats.org/officeDocument/2006/customXml" ds:itemID="{CA8C8BCD-6FD1-4678-A571-6A27A6EB18B5}"/>
</file>

<file path=customXml/itemProps3.xml><?xml version="1.0" encoding="utf-8"?>
<ds:datastoreItem xmlns:ds="http://schemas.openxmlformats.org/officeDocument/2006/customXml" ds:itemID="{EDD49148-FCA9-4148-8740-A4D70D819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2024-06-17T06:40:00Z</dcterms:created>
  <dcterms:modified xsi:type="dcterms:W3CDTF">2024-06-17T06:40:00Z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